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E3ED" w14:textId="77777777" w:rsidR="00BB2743" w:rsidRPr="00C4410F" w:rsidRDefault="0033740D" w:rsidP="00C4410F">
      <w:pPr>
        <w:spacing w:after="0" w:line="240" w:lineRule="auto"/>
        <w:jc w:val="center"/>
        <w:rPr>
          <w:szCs w:val="28"/>
        </w:rPr>
      </w:pPr>
      <w:r w:rsidRPr="00C4410F">
        <w:rPr>
          <w:b/>
          <w:szCs w:val="28"/>
        </w:rPr>
        <w:t>АНАЛІТИЧНА ДОВІДКА</w:t>
      </w:r>
      <w:r w:rsidRPr="00C4410F">
        <w:rPr>
          <w:b/>
          <w:szCs w:val="28"/>
        </w:rPr>
        <w:br/>
      </w:r>
    </w:p>
    <w:p w14:paraId="3AE5B312" w14:textId="06A8408F" w:rsidR="00BB2743" w:rsidRDefault="0033740D" w:rsidP="00C4410F">
      <w:pPr>
        <w:spacing w:after="0" w:line="240" w:lineRule="auto"/>
        <w:jc w:val="center"/>
        <w:rPr>
          <w:b/>
          <w:szCs w:val="28"/>
        </w:rPr>
      </w:pPr>
      <w:r w:rsidRPr="00C4410F">
        <w:rPr>
          <w:b/>
          <w:szCs w:val="28"/>
        </w:rPr>
        <w:t>за результатами аналізу самоаналізів керівників гуртків</w:t>
      </w:r>
      <w:r w:rsidRPr="00C4410F">
        <w:rPr>
          <w:b/>
          <w:szCs w:val="28"/>
        </w:rPr>
        <w:br/>
        <w:t>КЗ «Центр позашкільної освіти» Звягельської міської ради</w:t>
      </w:r>
      <w:r w:rsidRPr="00C4410F">
        <w:rPr>
          <w:b/>
          <w:szCs w:val="28"/>
        </w:rPr>
        <w:br/>
        <w:t>за 2025–2026 навчальний рік</w:t>
      </w:r>
    </w:p>
    <w:p w14:paraId="7FC164F1" w14:textId="77777777" w:rsidR="00C4410F" w:rsidRPr="00C4410F" w:rsidRDefault="00C4410F" w:rsidP="00C4410F">
      <w:pPr>
        <w:spacing w:after="0" w:line="240" w:lineRule="auto"/>
        <w:jc w:val="center"/>
        <w:rPr>
          <w:szCs w:val="28"/>
        </w:rPr>
      </w:pPr>
    </w:p>
    <w:p w14:paraId="19138751" w14:textId="77777777" w:rsidR="0033740D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За рішенням педагогічної ради та в межах внутрішнього моніторингу якості освітньої діяльності у 2025–2026 навчальному році проведено аналіз самоаналізів педагогічної діяльності керівників гуртків КЗ «Центр позашкільної освіти» Звягельської міської ради. </w:t>
      </w:r>
    </w:p>
    <w:p w14:paraId="1D3AF6BC" w14:textId="394A7E31" w:rsidR="00BB2743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Під час підготовки довідки враховано матеріали аналітичної довідки за І півріччя 2025–2026 н.р., а також результати онлайн-анкетування самоаналізу педагогів за ІІ півріччя, проведеного у квітні–травні 2026 року.</w:t>
      </w:r>
    </w:p>
    <w:p w14:paraId="79D7F564" w14:textId="77777777" w:rsidR="00C4410F" w:rsidRPr="00C4410F" w:rsidRDefault="00C4410F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</w:p>
    <w:p w14:paraId="7A1848A2" w14:textId="77777777" w:rsidR="00BB2743" w:rsidRPr="00C4410F" w:rsidRDefault="0033740D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1. Навчально-методичне забезпечення та професійний розвиток</w:t>
      </w:r>
    </w:p>
    <w:p w14:paraId="10A773DA" w14:textId="77777777" w:rsidR="0033740D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Упродовж навчального року педагоги закладу брали участь у методичній роботі, проходили курси підвищення кваліфікації, використовували сучасні цифрові ресурси та фахові освітні платформи. Частина педагогів активно долучалася до конкурсів фахової майстерності, вебінарів, семінарів, відкритих занять та майстер-класів. </w:t>
      </w:r>
    </w:p>
    <w:p w14:paraId="0314358F" w14:textId="6CEDE421" w:rsidR="00BB2743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Висновок: методична робота в закладі має системний характер.</w:t>
      </w:r>
      <w:r w:rsidRPr="00C4410F">
        <w:rPr>
          <w:noProof/>
          <w:szCs w:val="28"/>
          <w:lang w:val="uk-UA"/>
        </w:rPr>
        <w:br/>
        <w:t>Рекомендації: продовжити стимулювання педагогів до участі у професійних конкурсах, публікаціях і методичних заходах різних рівнів.</w:t>
      </w:r>
    </w:p>
    <w:p w14:paraId="7D55A7EB" w14:textId="77777777" w:rsidR="00C4410F" w:rsidRPr="00C4410F" w:rsidRDefault="00C4410F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</w:p>
    <w:p w14:paraId="39576DBD" w14:textId="77777777" w:rsidR="00BB2743" w:rsidRPr="00C4410F" w:rsidRDefault="0033740D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2. Організаційно-масова та виховна діяльність</w:t>
      </w:r>
    </w:p>
    <w:p w14:paraId="6A19CDBE" w14:textId="77777777" w:rsidR="0033740D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Керівники гуртків активно долучалися до організації та проведення масових заходів, виставок, майстер-класів, патріотичних акцій, родинних свят, благодійних ярмарків та творчих проєктів. </w:t>
      </w:r>
    </w:p>
    <w:p w14:paraId="7AF6D9F2" w14:textId="04C54BB8" w:rsidR="00BB2743" w:rsidRPr="00C4410F" w:rsidRDefault="00C4410F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Отже,</w:t>
      </w:r>
      <w:r w:rsidR="0033740D" w:rsidRPr="00C4410F">
        <w:rPr>
          <w:noProof/>
          <w:szCs w:val="28"/>
          <w:lang w:val="uk-UA"/>
        </w:rPr>
        <w:t xml:space="preserve"> організаційно-масова робота є різноплановою та результативною.</w:t>
      </w:r>
      <w:r w:rsidR="0033740D" w:rsidRPr="00C4410F">
        <w:rPr>
          <w:noProof/>
          <w:szCs w:val="28"/>
          <w:lang w:val="uk-UA"/>
        </w:rPr>
        <w:br/>
        <w:t>Рекомендації: продовжити практику проведення інтегрованих виховних та патріотичних заходів.</w:t>
      </w:r>
    </w:p>
    <w:p w14:paraId="6B1416A4" w14:textId="77777777" w:rsidR="0033740D" w:rsidRPr="00C4410F" w:rsidRDefault="0033740D" w:rsidP="00C4410F">
      <w:pPr>
        <w:spacing w:after="0" w:line="240" w:lineRule="auto"/>
        <w:jc w:val="both"/>
        <w:rPr>
          <w:b/>
          <w:noProof/>
          <w:szCs w:val="28"/>
          <w:lang w:val="uk-UA"/>
        </w:rPr>
      </w:pPr>
    </w:p>
    <w:p w14:paraId="7CB589FC" w14:textId="77777777" w:rsidR="00BB2743" w:rsidRPr="00C4410F" w:rsidRDefault="0033740D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3. Результативність участі вихованців у конкурсах і фестивалях</w:t>
      </w:r>
    </w:p>
    <w:p w14:paraId="5B7B84DA" w14:textId="77777777" w:rsidR="0033740D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Вихованці гуртків брали активну участь у міських, обласних та всеукраїнських конкурсах, фестивалях, виставках та спортивних змаганнях, де здобували призові місця, дипломи та відзнаки. </w:t>
      </w:r>
    </w:p>
    <w:p w14:paraId="502603CC" w14:textId="77777777" w:rsid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Висновок: конкурсна діяльність гуртківців є результативною та сприяє підвищенню іміджу закладу. </w:t>
      </w:r>
    </w:p>
    <w:p w14:paraId="2CA48639" w14:textId="7A4A67CD" w:rsidR="00BB2743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Рекомендації: підтримувати </w:t>
      </w:r>
      <w:r w:rsidR="00C4410F">
        <w:rPr>
          <w:noProof/>
          <w:szCs w:val="28"/>
          <w:lang w:val="uk-UA"/>
        </w:rPr>
        <w:t xml:space="preserve">та стимулювати </w:t>
      </w:r>
      <w:r w:rsidRPr="00C4410F">
        <w:rPr>
          <w:noProof/>
          <w:szCs w:val="28"/>
          <w:lang w:val="uk-UA"/>
        </w:rPr>
        <w:t>педагогів і вихованців у подальшій конкурсній діяльності.</w:t>
      </w:r>
    </w:p>
    <w:p w14:paraId="3EBE092E" w14:textId="77777777" w:rsidR="00BB2743" w:rsidRPr="00C4410F" w:rsidRDefault="0033740D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lastRenderedPageBreak/>
        <w:t>4. Наповнюваність гуртків та відвідуваність занять</w:t>
      </w:r>
    </w:p>
    <w:p w14:paraId="1B7306B3" w14:textId="77777777" w:rsidR="0033740D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Більшість гуртків упродовж навчального року зберегли стабільну наповнюваність. Педагоги відзначають зацікавленість дітей у гуртковій роботі та позитивну співпрацю з батьками. </w:t>
      </w:r>
    </w:p>
    <w:p w14:paraId="26D4C477" w14:textId="137D2181" w:rsidR="00BB2743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Висновок: наповнюваність гуртків у цілому є стабільною.</w:t>
      </w:r>
      <w:r w:rsidRPr="00C4410F">
        <w:rPr>
          <w:noProof/>
          <w:szCs w:val="28"/>
          <w:lang w:val="uk-UA"/>
        </w:rPr>
        <w:br/>
        <w:t>Рекомендації: урізноманітнювати форми роботи та посилювати мотивацію вихованців.</w:t>
      </w:r>
    </w:p>
    <w:p w14:paraId="427B196C" w14:textId="77777777" w:rsidR="00C4410F" w:rsidRPr="00C4410F" w:rsidRDefault="00C4410F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</w:p>
    <w:p w14:paraId="0EA86A24" w14:textId="6F63B15A" w:rsidR="00C4410F" w:rsidRPr="00C4410F" w:rsidRDefault="00C4410F" w:rsidP="00C4410F">
      <w:pPr>
        <w:spacing w:after="0" w:line="240" w:lineRule="auto"/>
        <w:jc w:val="both"/>
        <w:rPr>
          <w:b/>
          <w:bCs/>
          <w:noProof/>
          <w:szCs w:val="28"/>
          <w:lang w:val="uk-UA"/>
        </w:rPr>
      </w:pPr>
      <w:r w:rsidRPr="00C4410F">
        <w:rPr>
          <w:b/>
          <w:bCs/>
          <w:noProof/>
          <w:szCs w:val="28"/>
          <w:lang w:val="uk-UA"/>
        </w:rPr>
        <w:t>5. Організація інклюзивного навчання.</w:t>
      </w:r>
    </w:p>
    <w:p w14:paraId="2FFA1B8E" w14:textId="77777777" w:rsidR="00C4410F" w:rsidRPr="00C4410F" w:rsidRDefault="00C4410F" w:rsidP="00C4410F">
      <w:pPr>
        <w:spacing w:after="0" w:line="240" w:lineRule="auto"/>
        <w:ind w:firstLine="72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У 2025–2026 навчальному році відповідно до наказу від 01.09.2025 року в гуртк</w:t>
      </w:r>
      <w:r w:rsidRPr="00C4410F">
        <w:rPr>
          <w:noProof/>
          <w:szCs w:val="28"/>
          <w:lang w:val="uk-UA"/>
        </w:rPr>
        <w:t>ах</w:t>
      </w:r>
      <w:r w:rsidRPr="00C4410F">
        <w:rPr>
          <w:noProof/>
          <w:szCs w:val="28"/>
          <w:lang w:val="uk-UA"/>
        </w:rPr>
        <w:t xml:space="preserve"> Ц</w:t>
      </w:r>
      <w:r w:rsidRPr="00C4410F">
        <w:rPr>
          <w:noProof/>
          <w:szCs w:val="28"/>
          <w:lang w:val="uk-UA"/>
        </w:rPr>
        <w:t>РТРД</w:t>
      </w:r>
      <w:r w:rsidRPr="00C4410F">
        <w:rPr>
          <w:noProof/>
          <w:szCs w:val="28"/>
          <w:lang w:val="uk-UA"/>
        </w:rPr>
        <w:t xml:space="preserve"> «Першоцвіт»</w:t>
      </w:r>
      <w:r w:rsidRPr="00C4410F">
        <w:rPr>
          <w:noProof/>
          <w:szCs w:val="28"/>
          <w:lang w:val="uk-UA"/>
        </w:rPr>
        <w:t>, «Ляльковий театр», та «Студія гітари. Естрадний спів»</w:t>
      </w:r>
      <w:r w:rsidRPr="00C4410F">
        <w:rPr>
          <w:noProof/>
          <w:szCs w:val="28"/>
          <w:lang w:val="uk-UA"/>
        </w:rPr>
        <w:t xml:space="preserve"> було організовано груп</w:t>
      </w:r>
      <w:r w:rsidRPr="00C4410F">
        <w:rPr>
          <w:noProof/>
          <w:szCs w:val="28"/>
          <w:lang w:val="uk-UA"/>
        </w:rPr>
        <w:t>и</w:t>
      </w:r>
      <w:r w:rsidRPr="00C4410F">
        <w:rPr>
          <w:noProof/>
          <w:szCs w:val="28"/>
          <w:lang w:val="uk-UA"/>
        </w:rPr>
        <w:t xml:space="preserve"> з інклюзивною формою навчання із середньою наповнюваністю 5–8 вихованців. Освітній процес забезпечували керівники гуртків Мирослава Багатчук, Наталія Ведрук, Тетяна Сардак та Галина Лисенко. </w:t>
      </w:r>
    </w:p>
    <w:p w14:paraId="5E97B5F7" w14:textId="7B910A0B" w:rsidR="00C4410F" w:rsidRPr="00C4410F" w:rsidRDefault="00C4410F" w:rsidP="00C4410F">
      <w:pPr>
        <w:spacing w:after="0" w:line="240" w:lineRule="auto"/>
        <w:ind w:firstLine="72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Протягом року забезпечувався особистісно зорієнтований підхід до навчання, проводилось оцінювання навчальних досягнень відповідно до критеріїв оцінювання. Вихованці активно долучалися до заходів з урахуванням їхніх інтересів та здібностей. У співпраці з батьками були розроблені й реалізовані індивідуальні програми розвитку дітей, а також систематично здійснювався аналіз результативності освітнього процесу.</w:t>
      </w:r>
    </w:p>
    <w:p w14:paraId="063B38B1" w14:textId="77777777" w:rsidR="00C4410F" w:rsidRPr="00C4410F" w:rsidRDefault="00C4410F" w:rsidP="00C4410F">
      <w:pPr>
        <w:spacing w:after="0" w:line="240" w:lineRule="auto"/>
        <w:ind w:firstLine="720"/>
        <w:jc w:val="both"/>
        <w:rPr>
          <w:b/>
          <w:bCs/>
          <w:noProof/>
          <w:szCs w:val="28"/>
          <w:lang w:val="uk-UA"/>
        </w:rPr>
      </w:pPr>
    </w:p>
    <w:p w14:paraId="4B81CEFD" w14:textId="7FE328B3" w:rsidR="00BB2743" w:rsidRPr="00C4410F" w:rsidRDefault="00C4410F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6</w:t>
      </w:r>
      <w:r w:rsidR="0033740D" w:rsidRPr="00C4410F">
        <w:rPr>
          <w:b/>
          <w:noProof/>
          <w:szCs w:val="28"/>
          <w:lang w:val="uk-UA"/>
        </w:rPr>
        <w:t>. Інноваційна та проєктна діяльність</w:t>
      </w:r>
    </w:p>
    <w:p w14:paraId="4DEE9DDF" w14:textId="77777777" w:rsidR="0033740D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У закладі реалізовувалися творчі, виховні та освітні проєкти, проводилися майстер-класи, флешмоби, екскурсії та інтегровані заходи. </w:t>
      </w:r>
    </w:p>
    <w:p w14:paraId="562B454F" w14:textId="2D5500F4" w:rsidR="00BB2743" w:rsidRDefault="00C4410F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Отже,</w:t>
      </w:r>
      <w:r w:rsidR="0033740D" w:rsidRPr="00C4410F">
        <w:rPr>
          <w:noProof/>
          <w:szCs w:val="28"/>
          <w:lang w:val="uk-UA"/>
        </w:rPr>
        <w:t xml:space="preserve"> у закладі наявні позитивні приклади інноваційної діяльності.</w:t>
      </w:r>
      <w:r w:rsidR="0033740D" w:rsidRPr="00C4410F">
        <w:rPr>
          <w:noProof/>
          <w:szCs w:val="28"/>
          <w:lang w:val="uk-UA"/>
        </w:rPr>
        <w:br/>
        <w:t>Рекомендації: заохочувати педагогів до розробки та впровадження власних освітніх проєктів.</w:t>
      </w:r>
    </w:p>
    <w:p w14:paraId="3112666F" w14:textId="77777777" w:rsidR="00C4410F" w:rsidRPr="00C4410F" w:rsidRDefault="00C4410F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</w:p>
    <w:p w14:paraId="550EC49C" w14:textId="557472C4" w:rsidR="00BB2743" w:rsidRPr="00C4410F" w:rsidRDefault="00C4410F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7</w:t>
      </w:r>
      <w:r w:rsidR="0033740D" w:rsidRPr="00C4410F">
        <w:rPr>
          <w:b/>
          <w:noProof/>
          <w:szCs w:val="28"/>
          <w:lang w:val="uk-UA"/>
        </w:rPr>
        <w:t>. Робота з батьками</w:t>
      </w:r>
    </w:p>
    <w:p w14:paraId="32997781" w14:textId="77777777" w:rsidR="0033740D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Педагоги здійснювали системну роботу з батьками через консультації, батьківські збори, спільні заходи, екскурсії та родинні свята.</w:t>
      </w:r>
    </w:p>
    <w:p w14:paraId="0AA1AB9D" w14:textId="078C3391" w:rsidR="0033740D" w:rsidRPr="00C4410F" w:rsidRDefault="00C4410F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Р</w:t>
      </w:r>
      <w:r w:rsidR="0033740D" w:rsidRPr="00C4410F">
        <w:rPr>
          <w:noProof/>
          <w:szCs w:val="28"/>
          <w:lang w:val="uk-UA"/>
        </w:rPr>
        <w:t>обота з батьками має системний характер.</w:t>
      </w:r>
      <w:r w:rsidR="0033740D" w:rsidRPr="00C4410F">
        <w:rPr>
          <w:noProof/>
          <w:szCs w:val="28"/>
          <w:lang w:val="uk-UA"/>
        </w:rPr>
        <w:br/>
        <w:t>Рекомендації: продовжити партнерську взаємодію між педагогами, дітьми та батьками.</w:t>
      </w:r>
    </w:p>
    <w:p w14:paraId="7741547D" w14:textId="77777777" w:rsidR="0033740D" w:rsidRPr="00C4410F" w:rsidRDefault="0033740D" w:rsidP="00C4410F">
      <w:pPr>
        <w:spacing w:after="0" w:line="240" w:lineRule="auto"/>
        <w:jc w:val="both"/>
        <w:rPr>
          <w:b/>
          <w:noProof/>
          <w:szCs w:val="28"/>
          <w:lang w:val="uk-UA"/>
        </w:rPr>
      </w:pPr>
    </w:p>
    <w:p w14:paraId="205330EE" w14:textId="77777777" w:rsidR="00BB2743" w:rsidRPr="00C4410F" w:rsidRDefault="0033740D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Загальний висновок</w:t>
      </w:r>
    </w:p>
    <w:p w14:paraId="3288D522" w14:textId="77777777" w:rsidR="00BB2743" w:rsidRPr="00C4410F" w:rsidRDefault="0033740D" w:rsidP="00C4410F">
      <w:pPr>
        <w:spacing w:after="0" w:line="240" w:lineRule="auto"/>
        <w:ind w:firstLine="560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 xml:space="preserve">За результатами аналізу самоаналізів педагогічної діяльності керівників гуртків КЗ «Центр позашкільної освіти» Звягельської міської ради встановлено, що освітня діяльність закладу у 2025–2026 навчальному році здійснювалася стабільно, системно та результативно. Педагогічний колектив забезпечував належний рівень </w:t>
      </w:r>
      <w:r w:rsidRPr="00C4410F">
        <w:rPr>
          <w:noProof/>
          <w:szCs w:val="28"/>
          <w:lang w:val="uk-UA"/>
        </w:rPr>
        <w:lastRenderedPageBreak/>
        <w:t>освітніх послуг, створював безпечне та доброзичливе освітнє середовище, сприяв розвитку творчих, інтелектуальних, мистецьких та громадянських компетентностей вихованців.</w:t>
      </w:r>
    </w:p>
    <w:p w14:paraId="0E47AEFB" w14:textId="77777777" w:rsidR="00C4410F" w:rsidRDefault="00C4410F" w:rsidP="00C4410F">
      <w:pPr>
        <w:spacing w:after="0" w:line="240" w:lineRule="auto"/>
        <w:jc w:val="both"/>
        <w:rPr>
          <w:b/>
          <w:noProof/>
          <w:szCs w:val="28"/>
          <w:lang w:val="uk-UA"/>
        </w:rPr>
      </w:pPr>
    </w:p>
    <w:p w14:paraId="46653572" w14:textId="28A2F2C1" w:rsidR="00BB2743" w:rsidRPr="00C4410F" w:rsidRDefault="0033740D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Загальні рекомендації</w:t>
      </w:r>
    </w:p>
    <w:p w14:paraId="33C023D1" w14:textId="77777777" w:rsidR="00BB2743" w:rsidRPr="00C4410F" w:rsidRDefault="0033740D" w:rsidP="00C4410F">
      <w:pPr>
        <w:pStyle w:val="a"/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Продовжити системний внутрішній моніторинг якості освітньої діяльності.</w:t>
      </w:r>
    </w:p>
    <w:p w14:paraId="6D2AD4C0" w14:textId="77777777" w:rsidR="00BB2743" w:rsidRPr="00C4410F" w:rsidRDefault="0033740D" w:rsidP="00C4410F">
      <w:pPr>
        <w:pStyle w:val="a"/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Активізувати участь педагогів у методичних заходах різних рівнів.</w:t>
      </w:r>
    </w:p>
    <w:p w14:paraId="1F30C310" w14:textId="77777777" w:rsidR="00BB2743" w:rsidRPr="00C4410F" w:rsidRDefault="0033740D" w:rsidP="00C4410F">
      <w:pPr>
        <w:pStyle w:val="a"/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Стимулювати педагогів до публікацій і розробки методичних матеріалів.</w:t>
      </w:r>
    </w:p>
    <w:p w14:paraId="2CB7F349" w14:textId="77777777" w:rsidR="00BB2743" w:rsidRPr="00C4410F" w:rsidRDefault="0033740D" w:rsidP="00C4410F">
      <w:pPr>
        <w:pStyle w:val="a"/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Підтримувати конкурсну діяльність вихованців.</w:t>
      </w:r>
    </w:p>
    <w:p w14:paraId="27FD1362" w14:textId="77777777" w:rsidR="00BB2743" w:rsidRPr="00C4410F" w:rsidRDefault="0033740D" w:rsidP="00C4410F">
      <w:pPr>
        <w:pStyle w:val="a"/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Посилити роботу з батьками та громадськістю.</w:t>
      </w:r>
    </w:p>
    <w:p w14:paraId="32DD649A" w14:textId="77777777" w:rsidR="00BB2743" w:rsidRPr="00C4410F" w:rsidRDefault="0033740D" w:rsidP="00C4410F">
      <w:pPr>
        <w:pStyle w:val="a"/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Продовжити висвітлення діяльності закладу у соціальних мережах та ЗМІ.</w:t>
      </w:r>
    </w:p>
    <w:p w14:paraId="72694527" w14:textId="77777777" w:rsidR="00BB2743" w:rsidRPr="00C4410F" w:rsidRDefault="0033740D" w:rsidP="00C4410F">
      <w:pPr>
        <w:spacing w:after="0" w:line="240" w:lineRule="auto"/>
        <w:jc w:val="both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br/>
      </w:r>
    </w:p>
    <w:p w14:paraId="446235D8" w14:textId="2A9110B0" w:rsidR="00BB2743" w:rsidRPr="00C4410F" w:rsidRDefault="0033740D" w:rsidP="00C4410F">
      <w:pPr>
        <w:spacing w:after="0" w:line="240" w:lineRule="auto"/>
        <w:rPr>
          <w:noProof/>
          <w:szCs w:val="28"/>
          <w:lang w:val="uk-UA"/>
        </w:rPr>
      </w:pPr>
      <w:r w:rsidRPr="00C4410F">
        <w:rPr>
          <w:b/>
          <w:noProof/>
          <w:szCs w:val="28"/>
          <w:lang w:val="uk-UA"/>
        </w:rPr>
        <w:t>Завідувачка відділу методичного</w:t>
      </w:r>
      <w:r w:rsidRPr="00C4410F">
        <w:rPr>
          <w:b/>
          <w:noProof/>
          <w:szCs w:val="28"/>
          <w:lang w:val="uk-UA"/>
        </w:rPr>
        <w:br/>
        <w:t>КЗ «Центр позашкільної освіти»</w:t>
      </w:r>
      <w:r w:rsidRPr="00C4410F">
        <w:rPr>
          <w:b/>
          <w:noProof/>
          <w:szCs w:val="28"/>
          <w:lang w:val="uk-UA"/>
        </w:rPr>
        <w:br/>
        <w:t>Звягельської міської ради</w:t>
      </w:r>
      <w:r w:rsidR="004522FA">
        <w:rPr>
          <w:noProof/>
          <w:szCs w:val="28"/>
          <w:lang w:val="uk-UA"/>
        </w:rPr>
        <w:t xml:space="preserve">                     </w:t>
      </w:r>
      <w:r w:rsidRPr="00C4410F">
        <w:rPr>
          <w:b/>
          <w:noProof/>
          <w:szCs w:val="28"/>
          <w:lang w:val="uk-UA"/>
        </w:rPr>
        <w:t>______________ Мирослава БАГАТЧУК</w:t>
      </w:r>
    </w:p>
    <w:p w14:paraId="3CC1898E" w14:textId="77777777" w:rsidR="004522FA" w:rsidRDefault="004522FA" w:rsidP="00C4410F">
      <w:pPr>
        <w:tabs>
          <w:tab w:val="left" w:pos="3090"/>
        </w:tabs>
        <w:spacing w:after="0" w:line="240" w:lineRule="auto"/>
        <w:rPr>
          <w:noProof/>
          <w:szCs w:val="28"/>
          <w:lang w:val="uk-UA"/>
        </w:rPr>
      </w:pPr>
    </w:p>
    <w:p w14:paraId="54D8F164" w14:textId="77777777" w:rsidR="004522FA" w:rsidRDefault="004522FA" w:rsidP="00C4410F">
      <w:pPr>
        <w:tabs>
          <w:tab w:val="left" w:pos="3090"/>
        </w:tabs>
        <w:spacing w:after="0" w:line="240" w:lineRule="auto"/>
        <w:rPr>
          <w:noProof/>
          <w:szCs w:val="28"/>
          <w:lang w:val="uk-UA"/>
        </w:rPr>
      </w:pPr>
    </w:p>
    <w:p w14:paraId="06B88586" w14:textId="48C92B1C" w:rsidR="00BB2743" w:rsidRPr="00C4410F" w:rsidRDefault="0033740D" w:rsidP="00C4410F">
      <w:pPr>
        <w:tabs>
          <w:tab w:val="left" w:pos="3090"/>
        </w:tabs>
        <w:spacing w:after="0" w:line="240" w:lineRule="auto"/>
        <w:rPr>
          <w:noProof/>
          <w:szCs w:val="28"/>
          <w:lang w:val="uk-UA"/>
        </w:rPr>
      </w:pPr>
      <w:r w:rsidRPr="00C4410F">
        <w:rPr>
          <w:noProof/>
          <w:szCs w:val="28"/>
          <w:lang w:val="uk-UA"/>
        </w:rPr>
        <w:t>«</w:t>
      </w:r>
      <w:r w:rsidR="004522FA">
        <w:rPr>
          <w:noProof/>
          <w:szCs w:val="28"/>
          <w:lang w:val="uk-UA"/>
        </w:rPr>
        <w:t>25</w:t>
      </w:r>
      <w:r w:rsidRPr="00C4410F">
        <w:rPr>
          <w:noProof/>
          <w:szCs w:val="28"/>
          <w:lang w:val="uk-UA"/>
        </w:rPr>
        <w:t>» травня 2026 року</w:t>
      </w:r>
      <w:r w:rsidRPr="00C4410F">
        <w:rPr>
          <w:noProof/>
          <w:szCs w:val="28"/>
          <w:lang w:val="uk-UA"/>
        </w:rPr>
        <w:tab/>
      </w:r>
    </w:p>
    <w:p w14:paraId="3CA13FA8" w14:textId="77777777" w:rsidR="00C4410F" w:rsidRPr="00C4410F" w:rsidRDefault="00C4410F">
      <w:pPr>
        <w:tabs>
          <w:tab w:val="left" w:pos="3090"/>
        </w:tabs>
        <w:spacing w:after="0" w:line="240" w:lineRule="auto"/>
        <w:rPr>
          <w:noProof/>
          <w:szCs w:val="28"/>
          <w:lang w:val="uk-UA"/>
        </w:rPr>
      </w:pPr>
    </w:p>
    <w:sectPr w:rsidR="00C4410F" w:rsidRPr="00C4410F" w:rsidSect="0033740D">
      <w:pgSz w:w="12240" w:h="15840"/>
      <w:pgMar w:top="1440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40D"/>
    <w:rsid w:val="004522FA"/>
    <w:rsid w:val="00AA1D8D"/>
    <w:rsid w:val="00B47730"/>
    <w:rsid w:val="00BB2743"/>
    <w:rsid w:val="00C4410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18B15"/>
  <w14:defaultImageDpi w14:val="300"/>
  <w15:docId w15:val="{4A429430-0DA3-4C81-BE2B-43B585D0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C30BD-1A6D-4D3E-AB57-CA316D2B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Мирослава</cp:lastModifiedBy>
  <cp:revision>3</cp:revision>
  <dcterms:created xsi:type="dcterms:W3CDTF">2013-12-23T23:15:00Z</dcterms:created>
  <dcterms:modified xsi:type="dcterms:W3CDTF">2026-05-21T05:58:00Z</dcterms:modified>
  <cp:category/>
</cp:coreProperties>
</file>